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324C" w14:textId="1B13E0BA" w:rsidR="00394345" w:rsidRPr="00550256" w:rsidRDefault="009806F8" w:rsidP="00394345">
      <w:pPr>
        <w:spacing w:after="300"/>
        <w:rPr>
          <w:rFonts w:ascii="Arial" w:hAnsi="Arial" w:cs="Arial"/>
          <w:b/>
          <w:bCs/>
          <w:color w:val="7030A0"/>
          <w:sz w:val="28"/>
          <w:szCs w:val="28"/>
        </w:rPr>
      </w:pPr>
      <w:r w:rsidRPr="009806F8">
        <w:rPr>
          <w:rFonts w:ascii="Arial" w:hAnsi="Arial" w:cs="Arial"/>
          <w:b/>
          <w:bCs/>
          <w:color w:val="7030A0"/>
          <w:sz w:val="28"/>
          <w:szCs w:val="28"/>
        </w:rPr>
        <w:t>Long stays in holiday lets</w:t>
      </w:r>
    </w:p>
    <w:p w14:paraId="1DE947AB" w14:textId="10F6B0A4" w:rsidR="000A594A" w:rsidRPr="00055D3C" w:rsidRDefault="009806F8" w:rsidP="00612944">
      <w:pPr>
        <w:rPr>
          <w:rFonts w:ascii="Arial" w:hAnsi="Arial"/>
          <w:color w:val="7030A0"/>
        </w:rPr>
      </w:pPr>
      <w:bookmarkStart w:id="0" w:name="_a8zxykx4w774" w:colFirst="0" w:colLast="0"/>
      <w:bookmarkEnd w:id="0"/>
      <w:r w:rsidRPr="009806F8">
        <w:rPr>
          <w:rFonts w:ascii="Arial" w:hAnsi="Arial"/>
          <w:sz w:val="20"/>
          <w:szCs w:val="20"/>
        </w:rPr>
        <w:t>This factsheet considers the impact of allowing longer term lets (more than 28 days) in your holiday property.</w:t>
      </w:r>
      <w:r w:rsidR="000A594A" w:rsidRPr="000A594A">
        <w:rPr>
          <w:rFonts w:ascii="Arial" w:hAnsi="Arial"/>
          <w:sz w:val="20"/>
          <w:szCs w:val="20"/>
        </w:rPr>
        <w:t xml:space="preserve"> </w:t>
      </w:r>
    </w:p>
    <w:p w14:paraId="5575C802" w14:textId="77777777" w:rsidR="00394345" w:rsidRPr="00DF7F64" w:rsidRDefault="00394345" w:rsidP="00394345"/>
    <w:p w14:paraId="4D698313" w14:textId="42CE833E" w:rsidR="009806F8" w:rsidRDefault="009806F8" w:rsidP="009806F8">
      <w:pPr>
        <w:spacing w:after="300"/>
        <w:rPr>
          <w:rFonts w:ascii="Arial" w:eastAsia="Arial" w:hAnsi="Arial" w:cs="Arial"/>
          <w:sz w:val="28"/>
          <w:szCs w:val="28"/>
        </w:rPr>
      </w:pPr>
      <w:bookmarkStart w:id="1" w:name="_he7gwbhwfkuc" w:colFirst="0" w:colLast="0"/>
      <w:bookmarkEnd w:id="1"/>
      <w:r>
        <w:rPr>
          <w:rFonts w:ascii="Arial" w:eastAsia="Arial" w:hAnsi="Arial" w:cs="Arial"/>
          <w:color w:val="7030A0"/>
        </w:rPr>
        <w:t>Furnished holiday lettings</w:t>
      </w:r>
    </w:p>
    <w:p w14:paraId="63D64EC2" w14:textId="77777777" w:rsidR="009806F8" w:rsidRPr="00D1783E" w:rsidRDefault="009806F8" w:rsidP="009806F8">
      <w:pPr>
        <w:pStyle w:val="NormalWeb"/>
        <w:spacing w:after="210" w:afterAutospacing="0"/>
        <w:rPr>
          <w:rFonts w:ascii="Arial" w:eastAsia="Arial" w:hAnsi="Arial" w:cs="Arial"/>
          <w:sz w:val="28"/>
          <w:szCs w:val="28"/>
        </w:rPr>
      </w:pPr>
      <w:r>
        <w:rPr>
          <w:rFonts w:ascii="Arial" w:hAnsi="Arial"/>
          <w:sz w:val="20"/>
          <w:szCs w:val="20"/>
        </w:rPr>
        <w:t xml:space="preserve">Firstly, we’ll look at the ramifications of allowing a longer-term let in a </w:t>
      </w:r>
      <w:r w:rsidRPr="009806F8">
        <w:rPr>
          <w:rFonts w:ascii="Arial" w:hAnsi="Arial"/>
          <w:b/>
          <w:bCs/>
          <w:sz w:val="20"/>
          <w:szCs w:val="20"/>
        </w:rPr>
        <w:t>Furnished Holiday Letting (FHL)</w:t>
      </w:r>
      <w:r>
        <w:rPr>
          <w:rFonts w:ascii="Arial" w:hAnsi="Arial"/>
          <w:sz w:val="20"/>
          <w:szCs w:val="20"/>
        </w:rPr>
        <w:t>. For these purposes, a longer-term let is 31 days or more.</w:t>
      </w:r>
    </w:p>
    <w:p w14:paraId="2F986708" w14:textId="77777777" w:rsidR="009806F8" w:rsidRDefault="009806F8" w:rsidP="009806F8">
      <w:pPr>
        <w:pStyle w:val="NormalWeb"/>
        <w:shd w:val="clear" w:color="auto" w:fill="FFFFFF"/>
        <w:spacing w:before="300" w:beforeAutospacing="0" w:after="300" w:afterAutospacing="0"/>
        <w:rPr>
          <w:rFonts w:ascii="Arial" w:hAnsi="Arial"/>
          <w:sz w:val="20"/>
          <w:szCs w:val="20"/>
        </w:rPr>
      </w:pPr>
      <w:proofErr w:type="gramStart"/>
      <w:r>
        <w:rPr>
          <w:rFonts w:ascii="Arial" w:hAnsi="Arial"/>
          <w:sz w:val="20"/>
          <w:szCs w:val="20"/>
        </w:rPr>
        <w:t>In order to</w:t>
      </w:r>
      <w:proofErr w:type="gramEnd"/>
      <w:r>
        <w:rPr>
          <w:rFonts w:ascii="Arial" w:hAnsi="Arial"/>
          <w:sz w:val="20"/>
          <w:szCs w:val="20"/>
        </w:rPr>
        <w:t xml:space="preserve"> qualify as an FHL and enjoy the beneficial tax treatment, a property must pass three ‘occupancy’ conditions in a tax year:</w:t>
      </w:r>
    </w:p>
    <w:p w14:paraId="04B56FBB" w14:textId="77777777" w:rsidR="009806F8" w:rsidRDefault="009806F8" w:rsidP="009806F8">
      <w:pPr>
        <w:pStyle w:val="NormalWeb"/>
        <w:shd w:val="clear" w:color="auto" w:fill="FFFFFF"/>
        <w:spacing w:before="300" w:beforeAutospacing="0" w:after="300" w:afterAutospacing="0"/>
        <w:rPr>
          <w:rFonts w:ascii="Arial" w:hAnsi="Arial"/>
          <w:sz w:val="20"/>
          <w:szCs w:val="20"/>
        </w:rPr>
      </w:pPr>
      <w:r w:rsidRPr="00D67A55">
        <w:rPr>
          <w:rFonts w:ascii="Arial" w:hAnsi="Arial"/>
          <w:b/>
          <w:bCs/>
          <w:sz w:val="20"/>
          <w:szCs w:val="20"/>
        </w:rPr>
        <w:t>The pattern of occupation condition</w:t>
      </w:r>
      <w:r>
        <w:rPr>
          <w:rFonts w:ascii="Arial" w:hAnsi="Arial"/>
          <w:sz w:val="20"/>
          <w:szCs w:val="20"/>
        </w:rPr>
        <w:t xml:space="preserve"> – T</w:t>
      </w:r>
      <w:r w:rsidRPr="008E771B">
        <w:rPr>
          <w:rFonts w:ascii="Arial" w:hAnsi="Arial"/>
          <w:sz w:val="20"/>
          <w:szCs w:val="20"/>
        </w:rPr>
        <w:t xml:space="preserve">he total of all lettings that exceed 31 continuous days </w:t>
      </w:r>
      <w:r>
        <w:rPr>
          <w:rFonts w:ascii="Arial" w:hAnsi="Arial"/>
          <w:sz w:val="20"/>
          <w:szCs w:val="20"/>
        </w:rPr>
        <w:t>must not be</w:t>
      </w:r>
      <w:r w:rsidRPr="008E771B">
        <w:rPr>
          <w:rFonts w:ascii="Arial" w:hAnsi="Arial"/>
          <w:sz w:val="20"/>
          <w:szCs w:val="20"/>
        </w:rPr>
        <w:t xml:space="preserve"> more than 155 days during the year</w:t>
      </w:r>
      <w:r>
        <w:rPr>
          <w:rFonts w:ascii="Arial" w:hAnsi="Arial"/>
          <w:sz w:val="20"/>
          <w:szCs w:val="20"/>
        </w:rPr>
        <w:t>.</w:t>
      </w:r>
    </w:p>
    <w:p w14:paraId="3F8C19E6" w14:textId="77777777" w:rsidR="009806F8" w:rsidRDefault="009806F8" w:rsidP="009806F8">
      <w:pPr>
        <w:pStyle w:val="NormalWeb"/>
        <w:shd w:val="clear" w:color="auto" w:fill="FFFFFF"/>
        <w:spacing w:before="300" w:beforeAutospacing="0" w:after="300" w:afterAutospacing="0"/>
        <w:rPr>
          <w:rFonts w:ascii="Arial" w:hAnsi="Arial"/>
          <w:sz w:val="20"/>
          <w:szCs w:val="20"/>
        </w:rPr>
      </w:pPr>
      <w:r w:rsidRPr="00D67A55">
        <w:rPr>
          <w:rFonts w:ascii="Arial" w:hAnsi="Arial"/>
          <w:b/>
          <w:bCs/>
          <w:sz w:val="20"/>
          <w:szCs w:val="20"/>
        </w:rPr>
        <w:t>The availability condition</w:t>
      </w:r>
      <w:r>
        <w:rPr>
          <w:rFonts w:ascii="Arial" w:hAnsi="Arial"/>
          <w:sz w:val="20"/>
          <w:szCs w:val="20"/>
        </w:rPr>
        <w:t xml:space="preserve"> – </w:t>
      </w:r>
      <w:r w:rsidRPr="00F116D7">
        <w:rPr>
          <w:rFonts w:ascii="Arial" w:hAnsi="Arial"/>
          <w:sz w:val="20"/>
          <w:szCs w:val="20"/>
        </w:rPr>
        <w:t>The property must be available for letting as furnished holiday accommodation for at least 210 days in the year</w:t>
      </w:r>
      <w:r>
        <w:rPr>
          <w:rFonts w:ascii="Arial" w:hAnsi="Arial"/>
          <w:sz w:val="20"/>
          <w:szCs w:val="20"/>
        </w:rPr>
        <w:t>.</w:t>
      </w:r>
    </w:p>
    <w:p w14:paraId="7CCA5289" w14:textId="77777777" w:rsidR="009806F8" w:rsidRPr="003A59A1" w:rsidRDefault="009806F8" w:rsidP="009806F8">
      <w:pPr>
        <w:pStyle w:val="NormalWeb"/>
        <w:shd w:val="clear" w:color="auto" w:fill="FFFFFF"/>
        <w:spacing w:before="300" w:beforeAutospacing="0" w:after="300" w:afterAutospacing="0"/>
        <w:rPr>
          <w:rFonts w:ascii="Arial" w:hAnsi="Arial"/>
          <w:sz w:val="20"/>
          <w:szCs w:val="20"/>
        </w:rPr>
      </w:pPr>
      <w:r w:rsidRPr="00D67A55">
        <w:rPr>
          <w:rFonts w:ascii="Arial" w:hAnsi="Arial"/>
          <w:b/>
          <w:bCs/>
          <w:sz w:val="20"/>
          <w:szCs w:val="20"/>
        </w:rPr>
        <w:t>The letting condition</w:t>
      </w:r>
      <w:r>
        <w:rPr>
          <w:rFonts w:ascii="Arial" w:hAnsi="Arial"/>
          <w:sz w:val="20"/>
          <w:szCs w:val="20"/>
        </w:rPr>
        <w:t xml:space="preserve"> – The</w:t>
      </w:r>
      <w:r w:rsidRPr="00B66ED8">
        <w:rPr>
          <w:rFonts w:ascii="Arial" w:hAnsi="Arial"/>
          <w:sz w:val="20"/>
          <w:szCs w:val="20"/>
        </w:rPr>
        <w:t xml:space="preserve"> property</w:t>
      </w:r>
      <w:r>
        <w:rPr>
          <w:rFonts w:ascii="Arial" w:hAnsi="Arial"/>
          <w:sz w:val="20"/>
          <w:szCs w:val="20"/>
        </w:rPr>
        <w:t xml:space="preserve"> must be let</w:t>
      </w:r>
      <w:r w:rsidRPr="00B66ED8">
        <w:rPr>
          <w:rFonts w:ascii="Arial" w:hAnsi="Arial"/>
          <w:sz w:val="20"/>
          <w:szCs w:val="20"/>
        </w:rPr>
        <w:t xml:space="preserve"> commercially as furnished holiday accommodation to the public for at least 105 days in the year</w:t>
      </w:r>
      <w:r>
        <w:rPr>
          <w:rFonts w:ascii="Arial" w:hAnsi="Arial"/>
          <w:sz w:val="20"/>
          <w:szCs w:val="20"/>
        </w:rPr>
        <w:t xml:space="preserve">. </w:t>
      </w:r>
      <w:r>
        <w:rPr>
          <w:rFonts w:ascii="Arial" w:hAnsi="Arial" w:cs="Arial"/>
          <w:color w:val="0B0C0C"/>
        </w:rPr>
        <w:t> </w:t>
      </w:r>
      <w:r w:rsidRPr="003A59A1">
        <w:rPr>
          <w:rFonts w:ascii="Arial" w:hAnsi="Arial"/>
          <w:sz w:val="20"/>
          <w:szCs w:val="20"/>
        </w:rPr>
        <w:t>For these purposes, longer-term lets of more than 31 days</w:t>
      </w:r>
      <w:r>
        <w:rPr>
          <w:rFonts w:ascii="Arial" w:hAnsi="Arial"/>
          <w:sz w:val="20"/>
          <w:szCs w:val="20"/>
        </w:rPr>
        <w:t xml:space="preserve"> are not counted</w:t>
      </w:r>
      <w:r w:rsidRPr="003A59A1">
        <w:rPr>
          <w:rFonts w:ascii="Arial" w:hAnsi="Arial"/>
          <w:sz w:val="20"/>
          <w:szCs w:val="20"/>
        </w:rPr>
        <w:t>, unless the 31 days is exceeded because something unforeseen happens</w:t>
      </w:r>
      <w:r>
        <w:rPr>
          <w:rFonts w:ascii="Arial" w:hAnsi="Arial"/>
          <w:sz w:val="20"/>
          <w:szCs w:val="20"/>
        </w:rPr>
        <w:t>, f</w:t>
      </w:r>
      <w:r w:rsidRPr="003A59A1">
        <w:rPr>
          <w:rFonts w:ascii="Arial" w:hAnsi="Arial"/>
          <w:sz w:val="20"/>
          <w:szCs w:val="20"/>
        </w:rPr>
        <w:t>or example, the holidaymaker either</w:t>
      </w:r>
      <w:r>
        <w:rPr>
          <w:rFonts w:ascii="Arial" w:hAnsi="Arial"/>
          <w:sz w:val="20"/>
          <w:szCs w:val="20"/>
        </w:rPr>
        <w:t xml:space="preserve"> </w:t>
      </w:r>
      <w:r w:rsidRPr="003A59A1">
        <w:rPr>
          <w:rFonts w:ascii="Arial" w:hAnsi="Arial"/>
          <w:sz w:val="20"/>
          <w:szCs w:val="20"/>
        </w:rPr>
        <w:t>falls ill or has an accident, and cannot leave on time</w:t>
      </w:r>
      <w:r>
        <w:rPr>
          <w:rFonts w:ascii="Arial" w:hAnsi="Arial"/>
          <w:sz w:val="20"/>
          <w:szCs w:val="20"/>
        </w:rPr>
        <w:t xml:space="preserve"> or </w:t>
      </w:r>
      <w:proofErr w:type="gramStart"/>
      <w:r w:rsidRPr="003A59A1">
        <w:rPr>
          <w:rFonts w:ascii="Arial" w:hAnsi="Arial"/>
          <w:sz w:val="20"/>
          <w:szCs w:val="20"/>
        </w:rPr>
        <w:t>has to</w:t>
      </w:r>
      <w:proofErr w:type="gramEnd"/>
      <w:r w:rsidRPr="003A59A1">
        <w:rPr>
          <w:rFonts w:ascii="Arial" w:hAnsi="Arial"/>
          <w:sz w:val="20"/>
          <w:szCs w:val="20"/>
        </w:rPr>
        <w:t xml:space="preserve"> extend their holiday due to a delayed flight</w:t>
      </w:r>
      <w:r>
        <w:rPr>
          <w:rFonts w:ascii="Arial" w:hAnsi="Arial"/>
          <w:sz w:val="20"/>
          <w:szCs w:val="20"/>
        </w:rPr>
        <w:t>. It’s worth remembering that there are two easements – the averaging election and the period of grace election – that can help you to pass this condition.</w:t>
      </w:r>
    </w:p>
    <w:p w14:paraId="78CD44A2" w14:textId="77777777" w:rsidR="009806F8" w:rsidRPr="00FF51E5" w:rsidRDefault="009806F8" w:rsidP="009806F8">
      <w:pPr>
        <w:pStyle w:val="NormalWeb"/>
        <w:shd w:val="clear" w:color="auto" w:fill="FFFFFF"/>
        <w:spacing w:before="300" w:beforeAutospacing="0" w:after="300" w:afterAutospacing="0"/>
        <w:rPr>
          <w:rFonts w:ascii="Arial" w:hAnsi="Arial"/>
          <w:sz w:val="20"/>
          <w:szCs w:val="20"/>
        </w:rPr>
      </w:pPr>
      <w:proofErr w:type="gramStart"/>
      <w:r>
        <w:rPr>
          <w:rFonts w:ascii="Arial" w:hAnsi="Arial"/>
          <w:sz w:val="20"/>
          <w:szCs w:val="20"/>
        </w:rPr>
        <w:t>It can be seen that lets</w:t>
      </w:r>
      <w:proofErr w:type="gramEnd"/>
      <w:r>
        <w:rPr>
          <w:rFonts w:ascii="Arial" w:hAnsi="Arial"/>
          <w:sz w:val="20"/>
          <w:szCs w:val="20"/>
        </w:rPr>
        <w:t xml:space="preserve"> of 31 days or more can affect two of the three above conditions.</w:t>
      </w:r>
    </w:p>
    <w:p w14:paraId="75CEE639" w14:textId="77777777" w:rsidR="009806F8" w:rsidRPr="009806F8" w:rsidRDefault="009806F8" w:rsidP="009806F8">
      <w:pPr>
        <w:spacing w:after="300"/>
        <w:rPr>
          <w:rFonts w:ascii="Arial" w:eastAsia="Arial" w:hAnsi="Arial" w:cs="Arial"/>
          <w:color w:val="7030A0"/>
        </w:rPr>
      </w:pPr>
      <w:r w:rsidRPr="009806F8">
        <w:rPr>
          <w:rFonts w:ascii="Arial" w:eastAsia="Arial" w:hAnsi="Arial" w:cs="Arial"/>
          <w:color w:val="7030A0"/>
        </w:rPr>
        <w:t>Value Added Tax</w:t>
      </w:r>
    </w:p>
    <w:p w14:paraId="79AEE334" w14:textId="5D5E85B3" w:rsidR="009806F8" w:rsidRDefault="009806F8" w:rsidP="009806F8">
      <w:pPr>
        <w:spacing w:after="300"/>
        <w:rPr>
          <w:rFonts w:ascii="Arial" w:hAnsi="Arial"/>
          <w:sz w:val="20"/>
          <w:szCs w:val="20"/>
        </w:rPr>
      </w:pPr>
      <w:r>
        <w:rPr>
          <w:rFonts w:ascii="Arial" w:hAnsi="Arial"/>
          <w:sz w:val="20"/>
          <w:szCs w:val="20"/>
        </w:rPr>
        <w:t>Secondly, we’ll consider the VAT implications of longer-term stays.</w:t>
      </w:r>
      <w:r>
        <w:rPr>
          <w:rFonts w:ascii="Arial" w:hAnsi="Arial"/>
          <w:sz w:val="20"/>
          <w:szCs w:val="20"/>
        </w:rPr>
        <w:t xml:space="preserve"> </w:t>
      </w:r>
      <w:r>
        <w:rPr>
          <w:rFonts w:ascii="Arial" w:hAnsi="Arial"/>
          <w:sz w:val="20"/>
          <w:szCs w:val="20"/>
        </w:rPr>
        <w:t xml:space="preserve">Income from holiday accommodation is subject to VAT at the standard rate of 20%. This applies to holiday lettings that are advertised as being suitable for holiday or leisure purposes. In addition, accommodation in </w:t>
      </w:r>
      <w:r>
        <w:rPr>
          <w:rFonts w:ascii="Arial" w:hAnsi="Arial"/>
          <w:sz w:val="20"/>
          <w:szCs w:val="20"/>
        </w:rPr>
        <w:t>‘</w:t>
      </w:r>
      <w:r>
        <w:rPr>
          <w:rFonts w:ascii="Arial" w:hAnsi="Arial"/>
          <w:sz w:val="20"/>
          <w:szCs w:val="20"/>
        </w:rPr>
        <w:t>hotels, inns, boarding houses or similar establishments’ is standard rated, as is the supply of chalets, tents and caravans and pitches for tents and caravans.</w:t>
      </w:r>
    </w:p>
    <w:p w14:paraId="645984F2" w14:textId="2F24248D" w:rsidR="009806F8" w:rsidRDefault="009806F8" w:rsidP="009806F8">
      <w:pPr>
        <w:spacing w:after="300"/>
        <w:rPr>
          <w:rFonts w:ascii="Arial" w:eastAsia="Arial" w:hAnsi="Arial" w:cs="Arial"/>
          <w:sz w:val="28"/>
          <w:szCs w:val="28"/>
        </w:rPr>
      </w:pPr>
      <w:r>
        <w:rPr>
          <w:rFonts w:ascii="Arial" w:eastAsia="Arial" w:hAnsi="Arial" w:cs="Arial"/>
          <w:color w:val="7030A0"/>
        </w:rPr>
        <w:t>The reduced value rule for long stays</w:t>
      </w:r>
    </w:p>
    <w:p w14:paraId="0CFAC0A5" w14:textId="77777777" w:rsidR="009806F8" w:rsidRDefault="009806F8" w:rsidP="009806F8">
      <w:pPr>
        <w:spacing w:after="300"/>
        <w:rPr>
          <w:rFonts w:ascii="Arial" w:hAnsi="Arial"/>
          <w:sz w:val="20"/>
          <w:szCs w:val="20"/>
        </w:rPr>
      </w:pPr>
      <w:r>
        <w:rPr>
          <w:rFonts w:ascii="Arial" w:hAnsi="Arial"/>
          <w:sz w:val="20"/>
          <w:szCs w:val="20"/>
        </w:rPr>
        <w:t xml:space="preserve">The reduced value rule is an easement </w:t>
      </w:r>
      <w:proofErr w:type="gramStart"/>
      <w:r>
        <w:rPr>
          <w:rFonts w:ascii="Arial" w:hAnsi="Arial"/>
          <w:sz w:val="20"/>
          <w:szCs w:val="20"/>
        </w:rPr>
        <w:t>that  reduces</w:t>
      </w:r>
      <w:proofErr w:type="gramEnd"/>
      <w:r>
        <w:rPr>
          <w:rFonts w:ascii="Arial" w:hAnsi="Arial"/>
          <w:sz w:val="20"/>
          <w:szCs w:val="20"/>
        </w:rPr>
        <w:t xml:space="preserve"> the amount of VAT charged to guests who stay in ‘hotels, inns, boarding houses or similar establishments’ for stays lasting more than 28 consecutive days. It does not apply to long stays in other types of accommodation, such as FHLs, although it does apply to supplies of serviced apartments.</w:t>
      </w:r>
    </w:p>
    <w:p w14:paraId="0ABD288D" w14:textId="77777777" w:rsidR="009806F8" w:rsidRPr="005855B6" w:rsidRDefault="009806F8" w:rsidP="009806F8">
      <w:pPr>
        <w:spacing w:after="300"/>
        <w:rPr>
          <w:rFonts w:ascii="Arial" w:hAnsi="Arial"/>
          <w:b/>
          <w:bCs/>
          <w:sz w:val="20"/>
          <w:szCs w:val="20"/>
        </w:rPr>
      </w:pPr>
      <w:r w:rsidRPr="005855B6">
        <w:rPr>
          <w:rFonts w:ascii="Arial" w:hAnsi="Arial"/>
          <w:b/>
          <w:bCs/>
          <w:sz w:val="20"/>
          <w:szCs w:val="20"/>
        </w:rPr>
        <w:t xml:space="preserve">How </w:t>
      </w:r>
      <w:r>
        <w:rPr>
          <w:rFonts w:ascii="Arial" w:hAnsi="Arial"/>
          <w:b/>
          <w:bCs/>
          <w:sz w:val="20"/>
          <w:szCs w:val="20"/>
        </w:rPr>
        <w:t>the reduced value rule</w:t>
      </w:r>
      <w:r w:rsidRPr="005855B6">
        <w:rPr>
          <w:rFonts w:ascii="Arial" w:hAnsi="Arial"/>
          <w:b/>
          <w:bCs/>
          <w:sz w:val="20"/>
          <w:szCs w:val="20"/>
        </w:rPr>
        <w:t xml:space="preserve"> works</w:t>
      </w:r>
    </w:p>
    <w:p w14:paraId="15C95BF4" w14:textId="77777777" w:rsidR="009806F8" w:rsidRDefault="009806F8" w:rsidP="009806F8">
      <w:pPr>
        <w:spacing w:after="300"/>
        <w:rPr>
          <w:rFonts w:ascii="Arial" w:hAnsi="Arial"/>
          <w:sz w:val="20"/>
          <w:szCs w:val="20"/>
        </w:rPr>
      </w:pPr>
      <w:r>
        <w:rPr>
          <w:rFonts w:ascii="Arial" w:hAnsi="Arial"/>
          <w:sz w:val="20"/>
          <w:szCs w:val="20"/>
        </w:rPr>
        <w:t>From day 29 of the long stay, no VAT is charged on the accommodation element of the fee. This means that any element of the fee that relates to food, drink and other services remains subject to VAT. Also, after charges for food and drink are removed, 20% of the remainder is deemed to be in respect of service charges and is also subject to VAT. In cases where the customer has no food or drink, 20% of the selling price is subject to VAT at the standard rate, giving an effective rate of 4% (20% of 20%).</w:t>
      </w:r>
    </w:p>
    <w:p w14:paraId="68D951FE" w14:textId="77777777" w:rsidR="009806F8" w:rsidRPr="00EF204A" w:rsidRDefault="009806F8" w:rsidP="009806F8">
      <w:pPr>
        <w:spacing w:after="300"/>
        <w:rPr>
          <w:rFonts w:ascii="Arial" w:hAnsi="Arial"/>
          <w:sz w:val="20"/>
          <w:szCs w:val="20"/>
        </w:rPr>
      </w:pPr>
      <w:r>
        <w:rPr>
          <w:rFonts w:ascii="Arial" w:hAnsi="Arial"/>
          <w:sz w:val="20"/>
          <w:szCs w:val="20"/>
        </w:rPr>
        <w:t xml:space="preserve">The portion of the fee that is not subject to VAT is not VAT-exempt; it is deemed to be taxable for the purposes of reclaiming input tax. Input tax cannot be reclaimed if it were incurred in respect of exempt supplies, so this is an important distinction. </w:t>
      </w:r>
    </w:p>
    <w:p w14:paraId="33A084B9" w14:textId="77777777" w:rsidR="009806F8" w:rsidRDefault="009806F8" w:rsidP="009806F8">
      <w:pPr>
        <w:spacing w:after="300"/>
        <w:rPr>
          <w:rFonts w:ascii="Arial" w:hAnsi="Arial"/>
          <w:color w:val="7030A0"/>
        </w:rPr>
      </w:pPr>
      <w:r w:rsidRPr="009806F8">
        <w:rPr>
          <w:rFonts w:ascii="Arial" w:hAnsi="Arial"/>
          <w:color w:val="7030A0"/>
        </w:rPr>
        <w:t xml:space="preserve">Further information </w:t>
      </w:r>
    </w:p>
    <w:p w14:paraId="3E15C112" w14:textId="3F6C2A53" w:rsidR="009806F8" w:rsidRPr="00402C5F" w:rsidRDefault="009806F8" w:rsidP="009806F8">
      <w:pPr>
        <w:spacing w:after="300"/>
        <w:rPr>
          <w:rFonts w:ascii="Arial" w:hAnsi="Arial"/>
          <w:sz w:val="20"/>
          <w:szCs w:val="20"/>
        </w:rPr>
      </w:pPr>
      <w:r>
        <w:rPr>
          <w:rFonts w:ascii="Arial" w:hAnsi="Arial"/>
          <w:sz w:val="20"/>
          <w:szCs w:val="20"/>
        </w:rPr>
        <w:t xml:space="preserve">Information on the FHL conditions can be found here: </w:t>
      </w:r>
      <w:hyperlink r:id="rId10" w:history="1">
        <w:r w:rsidRPr="00B263AC">
          <w:rPr>
            <w:rStyle w:val="Hyperlink"/>
            <w:rFonts w:ascii="Arial" w:hAnsi="Arial"/>
            <w:sz w:val="20"/>
            <w:szCs w:val="20"/>
          </w:rPr>
          <w:t>https://www.gov.uk/government/publications/furnished-holiday-lettings-hs253-self-assessment-helpsheet/hs253-furnished-holiday-lettings-2023</w:t>
        </w:r>
      </w:hyperlink>
    </w:p>
    <w:p w14:paraId="33E9A169" w14:textId="30108D7E" w:rsidR="009806F8" w:rsidRPr="00055D3C" w:rsidRDefault="009806F8" w:rsidP="00394345">
      <w:pPr>
        <w:spacing w:after="300"/>
        <w:rPr>
          <w:rFonts w:ascii="Arial" w:eastAsia="Arial" w:hAnsi="Arial" w:cs="Arial"/>
          <w:color w:val="7030A0"/>
        </w:rPr>
      </w:pPr>
      <w:r>
        <w:rPr>
          <w:rFonts w:ascii="Arial" w:hAnsi="Arial"/>
          <w:sz w:val="20"/>
          <w:szCs w:val="20"/>
        </w:rPr>
        <w:t xml:space="preserve">Information on the reduced value rule can be found here: </w:t>
      </w:r>
      <w:hyperlink r:id="rId11" w:history="1">
        <w:r w:rsidRPr="009042FF">
          <w:rPr>
            <w:rStyle w:val="Hyperlink"/>
            <w:rFonts w:ascii="Arial" w:hAnsi="Arial"/>
            <w:sz w:val="20"/>
            <w:szCs w:val="20"/>
          </w:rPr>
          <w:t>https://www.gov.uk/guidance/hotels-holiday-accommodation-and-vat-notice-7093</w:t>
        </w:r>
      </w:hyperlink>
    </w:p>
    <w:sectPr w:rsidR="009806F8" w:rsidRPr="00055D3C">
      <w:headerReference w:type="even" r:id="rId12"/>
      <w:headerReference w:type="default" r:id="rId13"/>
      <w:footerReference w:type="default" r:id="rId14"/>
      <w:headerReference w:type="first" r:id="rId15"/>
      <w:pgSz w:w="11909" w:h="16834"/>
      <w:pgMar w:top="1275" w:right="1440" w:bottom="688" w:left="1440" w:header="720" w:footer="420" w:gutter="0"/>
      <w:pgNumType w:start="1"/>
      <w:cols w:num="2" w:space="720" w:equalWidth="0">
        <w:col w:w="4152" w:space="720"/>
        <w:col w:w="41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9741" w14:textId="77777777" w:rsidR="003A6349" w:rsidRDefault="003A6349">
      <w:r>
        <w:separator/>
      </w:r>
    </w:p>
  </w:endnote>
  <w:endnote w:type="continuationSeparator" w:id="0">
    <w:p w14:paraId="0B8429D4" w14:textId="77777777" w:rsidR="003A6349" w:rsidRDefault="003A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C0EE" w14:textId="77777777" w:rsidR="00055D3C" w:rsidRPr="00055D3C" w:rsidRDefault="009806F8" w:rsidP="00055D3C">
    <w:pPr>
      <w:spacing w:line="276" w:lineRule="auto"/>
      <w:rPr>
        <w:rFonts w:ascii="Arial" w:eastAsia="Arial" w:hAnsi="Arial" w:cs="Arial"/>
        <w:color w:val="999999"/>
        <w:sz w:val="16"/>
        <w:szCs w:val="16"/>
      </w:rPr>
    </w:pPr>
    <w:r>
      <w:rPr>
        <w:rFonts w:ascii="Arial" w:eastAsia="Arial" w:hAnsi="Arial" w:cs="Arial"/>
        <w:noProof/>
        <w:sz w:val="22"/>
        <w:szCs w:val="22"/>
      </w:rPr>
      <w:pict w14:anchorId="7B79497A">
        <v:rect id="_x0000_i1025" alt="" style="width:451.3pt;height:.05pt;mso-width-percent:0;mso-height-percent:0;mso-width-percent:0;mso-height-percent:0" o:hralign="center" o:hrstd="t" o:hr="t" fillcolor="#a0a0a0" stroked="f"/>
      </w:pict>
    </w:r>
  </w:p>
  <w:p w14:paraId="0C6A7528" w14:textId="77777777" w:rsidR="00055D3C" w:rsidRPr="00055D3C" w:rsidRDefault="00055D3C" w:rsidP="00055D3C">
    <w:pPr>
      <w:spacing w:line="276" w:lineRule="auto"/>
      <w:rPr>
        <w:rFonts w:ascii="Arial" w:eastAsia="Arial" w:hAnsi="Arial" w:cs="Arial"/>
        <w:color w:val="999999"/>
        <w:sz w:val="16"/>
        <w:szCs w:val="16"/>
      </w:rPr>
    </w:pPr>
    <w:r w:rsidRPr="00055D3C">
      <w:rPr>
        <w:rFonts w:ascii="Arial" w:eastAsia="Arial" w:hAnsi="Arial" w:cs="Arial"/>
        <w:color w:val="999999"/>
        <w:sz w:val="16"/>
        <w:szCs w:val="16"/>
      </w:rPr>
      <w:t>3 Castle Court, Carnegie Campus, Dunfermline KY11 8PB</w:t>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t>01383 628800</w:t>
    </w:r>
    <w:r w:rsidRPr="00055D3C">
      <w:rPr>
        <w:rFonts w:ascii="Arial" w:eastAsia="Arial" w:hAnsi="Arial" w:cs="Arial"/>
        <w:color w:val="999999"/>
        <w:sz w:val="16"/>
        <w:szCs w:val="16"/>
      </w:rPr>
      <w:tab/>
    </w:r>
  </w:p>
  <w:p w14:paraId="6B1D3B66" w14:textId="77777777" w:rsidR="00055D3C" w:rsidRPr="00055D3C" w:rsidRDefault="00055D3C" w:rsidP="00055D3C">
    <w:pPr>
      <w:spacing w:line="276" w:lineRule="auto"/>
      <w:rPr>
        <w:rFonts w:ascii="Arial" w:eastAsia="Arial" w:hAnsi="Arial" w:cs="Arial"/>
        <w:color w:val="999999"/>
        <w:sz w:val="16"/>
        <w:szCs w:val="16"/>
      </w:rPr>
    </w:pPr>
    <w:r w:rsidRPr="00055D3C">
      <w:rPr>
        <w:rFonts w:ascii="Arial" w:eastAsia="Arial" w:hAnsi="Arial" w:cs="Arial"/>
        <w:color w:val="999999"/>
        <w:sz w:val="16"/>
        <w:szCs w:val="16"/>
      </w:rPr>
      <w:t>22 Stafford Street, Edinburgh EH3 7BD</w:t>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t>0131 226 2233</w:t>
    </w:r>
  </w:p>
  <w:p w14:paraId="5B7C96EA" w14:textId="77777777" w:rsidR="00055D3C" w:rsidRPr="00055D3C" w:rsidRDefault="00055D3C" w:rsidP="00055D3C">
    <w:pPr>
      <w:spacing w:line="276" w:lineRule="auto"/>
      <w:rPr>
        <w:rFonts w:ascii="Arial" w:eastAsia="Arial" w:hAnsi="Arial" w:cs="Arial"/>
        <w:color w:val="999999"/>
        <w:sz w:val="16"/>
        <w:szCs w:val="16"/>
      </w:rPr>
    </w:pPr>
    <w:r w:rsidRPr="00055D3C">
      <w:rPr>
        <w:rFonts w:ascii="Arial" w:eastAsia="Arial" w:hAnsi="Arial" w:cs="Arial"/>
        <w:color w:val="999999"/>
        <w:sz w:val="16"/>
        <w:szCs w:val="16"/>
      </w:rPr>
      <w:t>www.thomsoncooper.com</w:t>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r>
    <w:r w:rsidRPr="00055D3C">
      <w:rPr>
        <w:rFonts w:ascii="Arial" w:eastAsia="Arial" w:hAnsi="Arial" w:cs="Arial"/>
        <w:color w:val="999999"/>
        <w:sz w:val="16"/>
        <w:szCs w:val="16"/>
      </w:rPr>
      <w:tab/>
      <w:t xml:space="preserve">                                info@thomsoncooper.com     </w:t>
    </w:r>
    <w:r w:rsidRPr="00055D3C">
      <w:rPr>
        <w:rFonts w:ascii="Arial" w:eastAsia="Arial" w:hAnsi="Arial" w:cs="Arial"/>
        <w:color w:val="999999"/>
        <w:sz w:val="16"/>
        <w:szCs w:val="16"/>
      </w:rPr>
      <w:tab/>
    </w:r>
    <w:r w:rsidRPr="00055D3C">
      <w:rPr>
        <w:rFonts w:ascii="Arial" w:eastAsia="Arial" w:hAnsi="Arial" w:cs="Arial"/>
        <w:color w:val="999999"/>
        <w:sz w:val="16"/>
        <w:szCs w:val="16"/>
      </w:rPr>
      <w:tab/>
      <w:t xml:space="preserve">                </w:t>
    </w:r>
  </w:p>
  <w:p w14:paraId="137F3578" w14:textId="77777777" w:rsidR="009C1A1D" w:rsidRDefault="009C1A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1EC4" w14:textId="77777777" w:rsidR="003A6349" w:rsidRDefault="003A6349">
      <w:r>
        <w:separator/>
      </w:r>
    </w:p>
  </w:footnote>
  <w:footnote w:type="continuationSeparator" w:id="0">
    <w:p w14:paraId="60891E1A" w14:textId="77777777" w:rsidR="003A6349" w:rsidRDefault="003A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714" w14:textId="4E4C0AB6" w:rsidR="00055D3C" w:rsidRDefault="009806F8">
    <w:pPr>
      <w:pStyle w:val="Header"/>
    </w:pPr>
    <w:r>
      <w:rPr>
        <w:noProof/>
      </w:rPr>
      <w:pict w14:anchorId="5643C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39079" o:spid="_x0000_s1027" type="#_x0000_t75" style="position:absolute;margin-left:0;margin-top:0;width:451.2pt;height:464.75pt;z-index:-251657216;mso-position-horizontal:center;mso-position-horizontal-relative:margin;mso-position-vertical:center;mso-position-vertical-relative:margin" o:allowincell="f">
          <v:imagedata r:id="rId1" o:title="ho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8AEE" w14:textId="01F5D45A" w:rsidR="009C1A1D" w:rsidRPr="00055D3C" w:rsidRDefault="009806F8" w:rsidP="00055D3C">
    <w:pPr>
      <w:pStyle w:val="Header"/>
    </w:pPr>
    <w:r>
      <w:rPr>
        <w:noProof/>
      </w:rPr>
      <w:pict w14:anchorId="4EE0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39080" o:spid="_x0000_s1028" type="#_x0000_t75" style="position:absolute;margin-left:0;margin-top:0;width:451.2pt;height:464.75pt;z-index:-251656192;mso-position-horizontal:center;mso-position-horizontal-relative:margin;mso-position-vertical:center;mso-position-vertical-relative:margin" o:allowincell="f">
          <v:imagedata r:id="rId1" o:title="house" gain="19661f" blacklevel="22938f"/>
          <w10:wrap anchorx="margin" anchory="margin"/>
        </v:shape>
      </w:pict>
    </w:r>
    <w:r w:rsidR="00055D3C">
      <w:rPr>
        <w:noProof/>
      </w:rPr>
      <w:drawing>
        <wp:inline distT="0" distB="0" distL="0" distR="0" wp14:anchorId="7383CEE5" wp14:editId="59CA7E26">
          <wp:extent cx="5733415" cy="838200"/>
          <wp:effectExtent l="0" t="0" r="635" b="0"/>
          <wp:docPr id="2057039362"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39362" name="Picture 1" descr="A purpl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33415"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38F" w14:textId="429A74A0" w:rsidR="00055D3C" w:rsidRDefault="009806F8">
    <w:pPr>
      <w:pStyle w:val="Header"/>
    </w:pPr>
    <w:r>
      <w:rPr>
        <w:noProof/>
      </w:rPr>
      <w:pict w14:anchorId="3A78F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839078" o:spid="_x0000_s1026" type="#_x0000_t75" style="position:absolute;margin-left:0;margin-top:0;width:451.2pt;height:464.75pt;z-index:-251658240;mso-position-horizontal:center;mso-position-horizontal-relative:margin;mso-position-vertical:center;mso-position-vertical-relative:margin" o:allowincell="f">
          <v:imagedata r:id="rId1" o:title="hou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F4D"/>
    <w:multiLevelType w:val="hybridMultilevel"/>
    <w:tmpl w:val="F4E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5D67"/>
    <w:multiLevelType w:val="multilevel"/>
    <w:tmpl w:val="23B6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97071"/>
    <w:multiLevelType w:val="multilevel"/>
    <w:tmpl w:val="FDA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41DEF"/>
    <w:multiLevelType w:val="multilevel"/>
    <w:tmpl w:val="3FFA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D38AF"/>
    <w:multiLevelType w:val="hybridMultilevel"/>
    <w:tmpl w:val="AF5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4859"/>
    <w:multiLevelType w:val="multilevel"/>
    <w:tmpl w:val="832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8056F"/>
    <w:multiLevelType w:val="multilevel"/>
    <w:tmpl w:val="3DA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45805"/>
    <w:multiLevelType w:val="hybridMultilevel"/>
    <w:tmpl w:val="0006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95A9D"/>
    <w:multiLevelType w:val="hybridMultilevel"/>
    <w:tmpl w:val="E41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66D98"/>
    <w:multiLevelType w:val="multilevel"/>
    <w:tmpl w:val="4E3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F213A"/>
    <w:multiLevelType w:val="multilevel"/>
    <w:tmpl w:val="D01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46213">
    <w:abstractNumId w:val="3"/>
  </w:num>
  <w:num w:numId="2" w16cid:durableId="1909992846">
    <w:abstractNumId w:val="10"/>
  </w:num>
  <w:num w:numId="3" w16cid:durableId="1761177254">
    <w:abstractNumId w:val="1"/>
  </w:num>
  <w:num w:numId="4" w16cid:durableId="1140920953">
    <w:abstractNumId w:val="8"/>
  </w:num>
  <w:num w:numId="5" w16cid:durableId="1158690403">
    <w:abstractNumId w:val="6"/>
  </w:num>
  <w:num w:numId="6" w16cid:durableId="14038207">
    <w:abstractNumId w:val="2"/>
  </w:num>
  <w:num w:numId="7" w16cid:durableId="1193960869">
    <w:abstractNumId w:val="9"/>
  </w:num>
  <w:num w:numId="8" w16cid:durableId="266892806">
    <w:abstractNumId w:val="4"/>
  </w:num>
  <w:num w:numId="9" w16cid:durableId="762411334">
    <w:abstractNumId w:val="0"/>
  </w:num>
  <w:num w:numId="10" w16cid:durableId="1740135011">
    <w:abstractNumId w:val="7"/>
  </w:num>
  <w:num w:numId="11" w16cid:durableId="2002659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1D"/>
    <w:rsid w:val="00025CF6"/>
    <w:rsid w:val="00034DB5"/>
    <w:rsid w:val="0004794F"/>
    <w:rsid w:val="00055D3C"/>
    <w:rsid w:val="00056ADB"/>
    <w:rsid w:val="000A594A"/>
    <w:rsid w:val="000C58B5"/>
    <w:rsid w:val="00103B33"/>
    <w:rsid w:val="0012371B"/>
    <w:rsid w:val="001511C7"/>
    <w:rsid w:val="001837CB"/>
    <w:rsid w:val="0018725E"/>
    <w:rsid w:val="001D2707"/>
    <w:rsid w:val="001D69E6"/>
    <w:rsid w:val="00277AAB"/>
    <w:rsid w:val="002E17D6"/>
    <w:rsid w:val="002E5C20"/>
    <w:rsid w:val="00332EC3"/>
    <w:rsid w:val="00337DE4"/>
    <w:rsid w:val="00344A1C"/>
    <w:rsid w:val="0034751C"/>
    <w:rsid w:val="00394345"/>
    <w:rsid w:val="003A4D6E"/>
    <w:rsid w:val="003A6349"/>
    <w:rsid w:val="00475B15"/>
    <w:rsid w:val="004B3F0A"/>
    <w:rsid w:val="00507584"/>
    <w:rsid w:val="00507BA2"/>
    <w:rsid w:val="0052152D"/>
    <w:rsid w:val="00550256"/>
    <w:rsid w:val="00576B01"/>
    <w:rsid w:val="005C38D9"/>
    <w:rsid w:val="005C7468"/>
    <w:rsid w:val="005F79AD"/>
    <w:rsid w:val="00612944"/>
    <w:rsid w:val="00615BEA"/>
    <w:rsid w:val="0067693F"/>
    <w:rsid w:val="006A082E"/>
    <w:rsid w:val="006B3391"/>
    <w:rsid w:val="006E1EE6"/>
    <w:rsid w:val="006E606A"/>
    <w:rsid w:val="006E6552"/>
    <w:rsid w:val="006E6D29"/>
    <w:rsid w:val="007361B8"/>
    <w:rsid w:val="00761F2B"/>
    <w:rsid w:val="00774650"/>
    <w:rsid w:val="00775717"/>
    <w:rsid w:val="007B2439"/>
    <w:rsid w:val="007F4075"/>
    <w:rsid w:val="00813FBF"/>
    <w:rsid w:val="00936349"/>
    <w:rsid w:val="009806F8"/>
    <w:rsid w:val="00981CE0"/>
    <w:rsid w:val="00993B31"/>
    <w:rsid w:val="009C1A1D"/>
    <w:rsid w:val="00A00C64"/>
    <w:rsid w:val="00A21B46"/>
    <w:rsid w:val="00A346E0"/>
    <w:rsid w:val="00A417B5"/>
    <w:rsid w:val="00B0111E"/>
    <w:rsid w:val="00B07E54"/>
    <w:rsid w:val="00B7105D"/>
    <w:rsid w:val="00B9164A"/>
    <w:rsid w:val="00BB2A33"/>
    <w:rsid w:val="00C31CD9"/>
    <w:rsid w:val="00C3514E"/>
    <w:rsid w:val="00CF35DB"/>
    <w:rsid w:val="00D62D73"/>
    <w:rsid w:val="00D86579"/>
    <w:rsid w:val="00D86BD1"/>
    <w:rsid w:val="00DA4FB1"/>
    <w:rsid w:val="00DA5562"/>
    <w:rsid w:val="00DD3E5A"/>
    <w:rsid w:val="00DF61CC"/>
    <w:rsid w:val="00DF7F64"/>
    <w:rsid w:val="00E90E50"/>
    <w:rsid w:val="00ED2E3F"/>
    <w:rsid w:val="00FC692B"/>
    <w:rsid w:val="00FE3D16"/>
    <w:rsid w:val="00FF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8E352"/>
  <w15:docId w15:val="{E73EE5DB-557B-0341-86D7-700848B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07"/>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507584"/>
    <w:pPr>
      <w:spacing w:before="100" w:beforeAutospacing="1" w:after="100" w:afterAutospacing="1"/>
    </w:pPr>
  </w:style>
  <w:style w:type="character" w:styleId="CommentReference">
    <w:name w:val="annotation reference"/>
    <w:basedOn w:val="DefaultParagraphFont"/>
    <w:uiPriority w:val="99"/>
    <w:semiHidden/>
    <w:unhideWhenUsed/>
    <w:rsid w:val="00775717"/>
    <w:rPr>
      <w:sz w:val="16"/>
      <w:szCs w:val="16"/>
    </w:rPr>
  </w:style>
  <w:style w:type="paragraph" w:styleId="CommentText">
    <w:name w:val="annotation text"/>
    <w:basedOn w:val="Normal"/>
    <w:link w:val="CommentTextChar"/>
    <w:uiPriority w:val="99"/>
    <w:semiHidden/>
    <w:unhideWhenUsed/>
    <w:rsid w:val="00775717"/>
    <w:rPr>
      <w:sz w:val="20"/>
      <w:szCs w:val="20"/>
    </w:rPr>
  </w:style>
  <w:style w:type="character" w:customStyle="1" w:styleId="CommentTextChar">
    <w:name w:val="Comment Text Char"/>
    <w:basedOn w:val="DefaultParagraphFont"/>
    <w:link w:val="CommentText"/>
    <w:uiPriority w:val="99"/>
    <w:semiHidden/>
    <w:rsid w:val="00775717"/>
    <w:rPr>
      <w:sz w:val="20"/>
      <w:szCs w:val="20"/>
    </w:rPr>
  </w:style>
  <w:style w:type="paragraph" w:styleId="CommentSubject">
    <w:name w:val="annotation subject"/>
    <w:basedOn w:val="CommentText"/>
    <w:next w:val="CommentText"/>
    <w:link w:val="CommentSubjectChar"/>
    <w:uiPriority w:val="99"/>
    <w:semiHidden/>
    <w:unhideWhenUsed/>
    <w:rsid w:val="00775717"/>
    <w:rPr>
      <w:b/>
      <w:bCs/>
    </w:rPr>
  </w:style>
  <w:style w:type="character" w:customStyle="1" w:styleId="CommentSubjectChar">
    <w:name w:val="Comment Subject Char"/>
    <w:basedOn w:val="CommentTextChar"/>
    <w:link w:val="CommentSubject"/>
    <w:uiPriority w:val="99"/>
    <w:semiHidden/>
    <w:rsid w:val="00775717"/>
    <w:rPr>
      <w:b/>
      <w:bCs/>
      <w:sz w:val="20"/>
      <w:szCs w:val="20"/>
    </w:rPr>
  </w:style>
  <w:style w:type="character" w:styleId="Hyperlink">
    <w:name w:val="Hyperlink"/>
    <w:basedOn w:val="DefaultParagraphFont"/>
    <w:uiPriority w:val="99"/>
    <w:unhideWhenUsed/>
    <w:rsid w:val="00775717"/>
    <w:rPr>
      <w:color w:val="0000FF" w:themeColor="hyperlink"/>
      <w:u w:val="single"/>
    </w:rPr>
  </w:style>
  <w:style w:type="character" w:styleId="UnresolvedMention">
    <w:name w:val="Unresolved Mention"/>
    <w:basedOn w:val="DefaultParagraphFont"/>
    <w:uiPriority w:val="99"/>
    <w:semiHidden/>
    <w:unhideWhenUsed/>
    <w:rsid w:val="00775717"/>
    <w:rPr>
      <w:color w:val="605E5C"/>
      <w:shd w:val="clear" w:color="auto" w:fill="E1DFDD"/>
    </w:rPr>
  </w:style>
  <w:style w:type="paragraph" w:styleId="ListParagraph">
    <w:name w:val="List Paragraph"/>
    <w:basedOn w:val="Normal"/>
    <w:uiPriority w:val="34"/>
    <w:qFormat/>
    <w:rsid w:val="004B3F0A"/>
    <w:pPr>
      <w:ind w:left="720"/>
      <w:contextualSpacing/>
    </w:pPr>
  </w:style>
  <w:style w:type="character" w:customStyle="1" w:styleId="Heading2Char">
    <w:name w:val="Heading 2 Char"/>
    <w:basedOn w:val="DefaultParagraphFont"/>
    <w:link w:val="Heading2"/>
    <w:uiPriority w:val="9"/>
    <w:rsid w:val="003A4D6E"/>
    <w:rPr>
      <w:sz w:val="32"/>
      <w:szCs w:val="32"/>
    </w:rPr>
  </w:style>
  <w:style w:type="character" w:customStyle="1" w:styleId="apple-converted-space">
    <w:name w:val="apple-converted-space"/>
    <w:basedOn w:val="DefaultParagraphFont"/>
    <w:rsid w:val="003A4D6E"/>
  </w:style>
  <w:style w:type="character" w:styleId="Strong">
    <w:name w:val="Strong"/>
    <w:basedOn w:val="DefaultParagraphFont"/>
    <w:uiPriority w:val="22"/>
    <w:qFormat/>
    <w:rsid w:val="00A346E0"/>
    <w:rPr>
      <w:b/>
      <w:bCs/>
    </w:rPr>
  </w:style>
  <w:style w:type="paragraph" w:styleId="Header">
    <w:name w:val="header"/>
    <w:basedOn w:val="Normal"/>
    <w:link w:val="HeaderChar"/>
    <w:uiPriority w:val="99"/>
    <w:unhideWhenUsed/>
    <w:rsid w:val="00DA4FB1"/>
    <w:pPr>
      <w:tabs>
        <w:tab w:val="center" w:pos="4513"/>
        <w:tab w:val="right" w:pos="9026"/>
      </w:tabs>
    </w:pPr>
  </w:style>
  <w:style w:type="character" w:customStyle="1" w:styleId="HeaderChar">
    <w:name w:val="Header Char"/>
    <w:basedOn w:val="DefaultParagraphFont"/>
    <w:link w:val="Header"/>
    <w:uiPriority w:val="99"/>
    <w:rsid w:val="00DA4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FB1"/>
    <w:pPr>
      <w:tabs>
        <w:tab w:val="center" w:pos="4513"/>
        <w:tab w:val="right" w:pos="9026"/>
      </w:tabs>
    </w:pPr>
  </w:style>
  <w:style w:type="character" w:customStyle="1" w:styleId="FooterChar">
    <w:name w:val="Footer Char"/>
    <w:basedOn w:val="DefaultParagraphFont"/>
    <w:link w:val="Footer"/>
    <w:uiPriority w:val="99"/>
    <w:rsid w:val="00DA4FB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4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910">
      <w:bodyDiv w:val="1"/>
      <w:marLeft w:val="0"/>
      <w:marRight w:val="0"/>
      <w:marTop w:val="0"/>
      <w:marBottom w:val="0"/>
      <w:divBdr>
        <w:top w:val="none" w:sz="0" w:space="0" w:color="auto"/>
        <w:left w:val="none" w:sz="0" w:space="0" w:color="auto"/>
        <w:bottom w:val="none" w:sz="0" w:space="0" w:color="auto"/>
        <w:right w:val="none" w:sz="0" w:space="0" w:color="auto"/>
      </w:divBdr>
    </w:div>
    <w:div w:id="166024083">
      <w:bodyDiv w:val="1"/>
      <w:marLeft w:val="0"/>
      <w:marRight w:val="0"/>
      <w:marTop w:val="0"/>
      <w:marBottom w:val="0"/>
      <w:divBdr>
        <w:top w:val="none" w:sz="0" w:space="0" w:color="auto"/>
        <w:left w:val="none" w:sz="0" w:space="0" w:color="auto"/>
        <w:bottom w:val="none" w:sz="0" w:space="0" w:color="auto"/>
        <w:right w:val="none" w:sz="0" w:space="0" w:color="auto"/>
      </w:divBdr>
    </w:div>
    <w:div w:id="330720813">
      <w:bodyDiv w:val="1"/>
      <w:marLeft w:val="0"/>
      <w:marRight w:val="0"/>
      <w:marTop w:val="0"/>
      <w:marBottom w:val="0"/>
      <w:divBdr>
        <w:top w:val="none" w:sz="0" w:space="0" w:color="auto"/>
        <w:left w:val="none" w:sz="0" w:space="0" w:color="auto"/>
        <w:bottom w:val="none" w:sz="0" w:space="0" w:color="auto"/>
        <w:right w:val="none" w:sz="0" w:space="0" w:color="auto"/>
      </w:divBdr>
    </w:div>
    <w:div w:id="1027945847">
      <w:bodyDiv w:val="1"/>
      <w:marLeft w:val="0"/>
      <w:marRight w:val="0"/>
      <w:marTop w:val="0"/>
      <w:marBottom w:val="0"/>
      <w:divBdr>
        <w:top w:val="none" w:sz="0" w:space="0" w:color="auto"/>
        <w:left w:val="none" w:sz="0" w:space="0" w:color="auto"/>
        <w:bottom w:val="none" w:sz="0" w:space="0" w:color="auto"/>
        <w:right w:val="none" w:sz="0" w:space="0" w:color="auto"/>
      </w:divBdr>
      <w:divsChild>
        <w:div w:id="916016185">
          <w:marLeft w:val="0"/>
          <w:marRight w:val="0"/>
          <w:marTop w:val="0"/>
          <w:marBottom w:val="0"/>
          <w:divBdr>
            <w:top w:val="none" w:sz="0" w:space="0" w:color="auto"/>
            <w:left w:val="none" w:sz="0" w:space="0" w:color="auto"/>
            <w:bottom w:val="none" w:sz="0" w:space="0" w:color="auto"/>
            <w:right w:val="none" w:sz="0" w:space="0" w:color="auto"/>
          </w:divBdr>
          <w:divsChild>
            <w:div w:id="155805019">
              <w:marLeft w:val="0"/>
              <w:marRight w:val="0"/>
              <w:marTop w:val="0"/>
              <w:marBottom w:val="0"/>
              <w:divBdr>
                <w:top w:val="none" w:sz="0" w:space="0" w:color="auto"/>
                <w:left w:val="none" w:sz="0" w:space="0" w:color="auto"/>
                <w:bottom w:val="none" w:sz="0" w:space="0" w:color="auto"/>
                <w:right w:val="none" w:sz="0" w:space="0" w:color="auto"/>
              </w:divBdr>
              <w:divsChild>
                <w:div w:id="741488577">
                  <w:marLeft w:val="0"/>
                  <w:marRight w:val="0"/>
                  <w:marTop w:val="0"/>
                  <w:marBottom w:val="0"/>
                  <w:divBdr>
                    <w:top w:val="none" w:sz="0" w:space="0" w:color="auto"/>
                    <w:left w:val="none" w:sz="0" w:space="0" w:color="auto"/>
                    <w:bottom w:val="none" w:sz="0" w:space="0" w:color="auto"/>
                    <w:right w:val="none" w:sz="0" w:space="0" w:color="auto"/>
                  </w:divBdr>
                  <w:divsChild>
                    <w:div w:id="1446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1073">
              <w:marLeft w:val="0"/>
              <w:marRight w:val="0"/>
              <w:marTop w:val="0"/>
              <w:marBottom w:val="0"/>
              <w:divBdr>
                <w:top w:val="none" w:sz="0" w:space="0" w:color="auto"/>
                <w:left w:val="none" w:sz="0" w:space="0" w:color="auto"/>
                <w:bottom w:val="none" w:sz="0" w:space="0" w:color="auto"/>
                <w:right w:val="none" w:sz="0" w:space="0" w:color="auto"/>
              </w:divBdr>
              <w:divsChild>
                <w:div w:id="1200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1413">
      <w:bodyDiv w:val="1"/>
      <w:marLeft w:val="0"/>
      <w:marRight w:val="0"/>
      <w:marTop w:val="0"/>
      <w:marBottom w:val="0"/>
      <w:divBdr>
        <w:top w:val="none" w:sz="0" w:space="0" w:color="auto"/>
        <w:left w:val="none" w:sz="0" w:space="0" w:color="auto"/>
        <w:bottom w:val="none" w:sz="0" w:space="0" w:color="auto"/>
        <w:right w:val="none" w:sz="0" w:space="0" w:color="auto"/>
      </w:divBdr>
    </w:div>
    <w:div w:id="125655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hotels-holiday-accommodation-and-vat-notice-7093"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furnished-holiday-lettings-hs253-self-assessment-helpsheet/hs253-furnished-holiday-lettings-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4a4640e065ceaa07b5cf235c067ffce3">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9c28d1cbfb293fa52860c71b50fc4428"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d63c80-a7c1-4b1b-b215-05a894a26d5f}"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F4112-0F57-40F5-B14E-B1502985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88B5-42EB-436F-84F0-E45B71DE8F85}">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customXml/itemProps3.xml><?xml version="1.0" encoding="utf-8"?>
<ds:datastoreItem xmlns:ds="http://schemas.openxmlformats.org/officeDocument/2006/customXml" ds:itemID="{C9BBD4F6-3B17-4E10-96CF-69282ABEF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Jones</dc:creator>
  <cp:lastModifiedBy>Carol Humphries</cp:lastModifiedBy>
  <cp:revision>2</cp:revision>
  <dcterms:created xsi:type="dcterms:W3CDTF">2024-03-19T11:17:00Z</dcterms:created>
  <dcterms:modified xsi:type="dcterms:W3CDTF">2024-03-19T11:17:00Z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ies>
</file>